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3750" w:leader="none"/>
          <w:tab w:val="left" w:pos="4155" w:leader="none"/>
        </w:tabs>
        <w:jc w:val="center"/>
        <w:rPr/>
      </w:pPr>
      <w:r>
        <w:rPr>
          <w:rFonts w:ascii="Arial" w:hAnsi="Arial"/>
          <w:b/>
          <w:bCs/>
        </w:rPr>
        <w:t>RETIFICAÇÃO Nº 00</w:t>
      </w:r>
      <w:r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/2023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center"/>
        <w:outlineLvl w:val="0"/>
        <w:rPr/>
      </w:pPr>
      <w:r>
        <w:rPr>
          <w:rFonts w:ascii="Arial" w:hAnsi="Arial"/>
          <w:b/>
          <w:bCs/>
        </w:rPr>
        <w:t>(</w:t>
      </w:r>
      <w:r>
        <w:rPr>
          <w:rFonts w:ascii="Arial" w:hAnsi="Arial"/>
          <w:b/>
          <w:bCs/>
          <w:sz w:val="22"/>
          <w:szCs w:val="22"/>
        </w:rPr>
        <w:t>RESOLUÇÃO Nº 004 DE 16 DE MAIO DE 2023</w:t>
      </w:r>
      <w:r>
        <w:rPr>
          <w:rFonts w:ascii="Arial" w:hAnsi="Arial"/>
          <w:b/>
          <w:bCs/>
        </w:rPr>
        <w:t>)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outlineLvl w:val="0"/>
        <w:rPr/>
      </w:pPr>
      <w:r>
        <w:rPr>
          <w:rFonts w:ascii="Arial" w:hAnsi="Arial"/>
          <w:b w:val="false"/>
          <w:bCs w:val="false"/>
        </w:rPr>
        <w:t>A PRESIDENTE DO CONSELHO MUNICIPAL DOS DIREITOS DA CRIANÇA E DO ADOLESCENTE DE CARIACICA - COMDCAC, no uso de suas atribuições conferidas pela Lei municipal nº 5.396/2015,</w:t>
      </w:r>
      <w:r>
        <w:rPr>
          <w:rFonts w:ascii="Arial" w:hAnsi="Arial"/>
          <w:b/>
        </w:rPr>
        <w:t xml:space="preserve"> torna público a presente RETIFICAÇÃO AO </w:t>
      </w:r>
      <w:r>
        <w:rPr>
          <w:rFonts w:ascii="Arial" w:hAnsi="Arial"/>
          <w:b/>
          <w:bCs/>
          <w:sz w:val="22"/>
          <w:szCs w:val="22"/>
        </w:rPr>
        <w:t>RESOLUÇÃO Nº 004 DE 16 DE MAIO DE 2023</w:t>
      </w:r>
      <w:r>
        <w:rPr>
          <w:rFonts w:ascii="Arial" w:hAnsi="Arial"/>
          <w:b/>
        </w:rPr>
        <w:t xml:space="preserve"> e seu anexo, </w:t>
      </w:r>
      <w:r>
        <w:rPr>
          <w:rFonts w:ascii="Arial" w:hAnsi="Arial"/>
          <w:b w:val="false"/>
          <w:bCs w:val="false"/>
        </w:rPr>
        <w:t xml:space="preserve">que trata da convocação para o Processo da Escolha em Data Unificada para os membros do Conselho Tutelar para o quadriênio 2024/2028, </w:t>
      </w:r>
      <w:r>
        <w:rPr>
          <w:rFonts w:ascii="Arial" w:hAnsi="Arial"/>
          <w:b/>
        </w:rPr>
        <w:t>publicada no Diário Oficial do município, no dia  de abril de 2023.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outlineLvl w:val="0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outlineLvl w:val="0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ANEXO - </w:t>
      </w:r>
      <w:r>
        <w:rPr>
          <w:rFonts w:eastAsia="Calibri" w:ascii="Arial" w:hAnsi="Arial"/>
          <w:b/>
          <w:bCs/>
          <w:color w:val="000000"/>
          <w:sz w:val="24"/>
          <w:szCs w:val="24"/>
        </w:rPr>
        <w:t>DO CALENDÁRIO</w:t>
      </w:r>
    </w:p>
    <w:p>
      <w:pPr>
        <w:pStyle w:val="Jurisprudncias"/>
        <w:numPr>
          <w:ilvl w:val="0"/>
          <w:numId w:val="0"/>
        </w:numPr>
        <w:spacing w:lineRule="auto" w:line="360"/>
        <w:ind w:left="0" w:right="0" w:hanging="0"/>
        <w:jc w:val="both"/>
        <w:outlineLvl w:val="0"/>
        <w:rPr>
          <w:highlight w:val="none"/>
        </w:rPr>
      </w:pPr>
      <w:r>
        <w:rPr>
          <w:rFonts w:eastAsia="Calibri"/>
          <w:b/>
          <w:color w:val="000000"/>
          <w:sz w:val="24"/>
        </w:rPr>
        <w:t xml:space="preserve">Onde se lê: </w:t>
      </w:r>
    </w:p>
    <w:tbl>
      <w:tblPr>
        <w:tblStyle w:val="3"/>
        <w:tblW w:w="85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6375"/>
      </w:tblGrid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4"/>
                <w:lang w:val="pt-BR" w:eastAsia="pt-BR" w:bidi="ar-SA"/>
              </w:rPr>
              <w:t>Data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4"/>
                <w:lang w:val="pt-BR" w:eastAsia="pt-BR" w:bidi="ar-SA"/>
              </w:rPr>
              <w:t>Etapa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Até 31/3/2023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Publicação da Resolução do COMDCAC que cria a Comissão Especial do Processo de Escolha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 xml:space="preserve">Até 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en-US" w:eastAsia="pt-BR" w:bidi="ar-SA"/>
              </w:rPr>
              <w:t>13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/4/2023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Publicação do Edital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en-US" w:eastAsia="pt-BR" w:bidi="ar-SA"/>
              </w:rPr>
              <w:t>1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 xml:space="preserve">4/4 a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en-US" w:eastAsia="pt-BR" w:bidi="ar-SA"/>
              </w:rPr>
              <w:t>15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/5/2023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Prazo para registro das candidaturas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b/>
                <w:b/>
                <w:bCs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sz w:val="22"/>
              </w:rPr>
              <w:t>18/05 a 24/05/2023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>Prorrogação do p</w:t>
            </w: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razo para registro das candidaturas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en-US" w:eastAsia="pt-BR" w:bidi="ar-SA"/>
              </w:rPr>
              <w:t>26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/5/2023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Publicação, pela Comissão Especial do processo de escolha, da lista dos candidatos inscritos e abertura do prazo de 5 (cinco) dias para impugnação das candidaturas junto à Comissão Especial, pela população em geral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en-US" w:eastAsia="pt-BR" w:bidi="ar-SA"/>
              </w:rPr>
              <w:t>02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/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en-US" w:eastAsia="pt-BR" w:bidi="ar-SA"/>
              </w:rPr>
              <w:t>06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Fim do prazo para impugnação dos candidatos pela população em geral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 xml:space="preserve">Até 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en-US" w:eastAsia="pt-BR" w:bidi="ar-SA"/>
              </w:rPr>
              <w:t>09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/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en-US" w:eastAsia="pt-BR" w:bidi="ar-SA"/>
              </w:rPr>
              <w:t>06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Havendo impugnação, a Comissão Especial notificará os candidatos impugnados, com abertura do prazo de 5 dias para defesa.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t-BR"/>
              </w:rPr>
              <w:t>12/06 a 16/06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Prazo de 5 dias para defesa do candidato impugnado.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t-BR"/>
              </w:rPr>
              <w:t>16/06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Realização de reunião da Comissão Especial para decidir acerca da impugnação.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t-BR"/>
              </w:rPr>
              <w:t>19/06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Análise do pedido de registro das candidaturas, independentemente de impugnação, e publicação da relação dos candidatos inscritos, deferidos e indeferidos, pela Comissão Especial.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t-BR"/>
              </w:rPr>
              <w:t>19/06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Prazo para interposição de recurso à Plenária do COMDCAC acerca das decisões da Comissão Especial.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b/>
                <w:b/>
                <w:bCs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sz w:val="22"/>
              </w:rPr>
              <w:t>21/06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Julgamento, pelo COMDCAC, dos recursos interpostos, com publicação acerca do resultado.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b/>
                <w:b/>
                <w:bCs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sz w:val="22"/>
              </w:rPr>
              <w:t>22/06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>Publicação do resultado do julgamento pelo COMDCAC.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t-BR"/>
              </w:rPr>
              <w:t>23/06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Publicação, pelo COMDCAC, de relação final das inscrições deferidas e indeferidas após o julgamento dos recursos pelo COMDCAC, com cópia ao Ministério Público.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t-BR"/>
              </w:rPr>
              <w:t>Até 30/06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Capacitação dos candidatos para a prova de conhecimentos, preferencialmente em dia não útil ou no período noturno.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  <w:lang w:val="en-US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en-US" w:eastAsia="pt-BR" w:bidi="ar-SA"/>
              </w:rPr>
              <w:t>01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/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en-US" w:eastAsia="pt-BR" w:bidi="ar-SA"/>
              </w:rPr>
              <w:t>07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Aplicação da prova.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10/7/2023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Publicação dos resultados da prova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11 e 12/7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Prazo de 2 (dois) dias para recurso dos candidatos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19/7/2023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Publicação do resultado final da prova pela Comissão Especial, bem como da lista final dos candidatos habilitados pelo COMDCAC, com cópia ao Ministério Público.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Até 20/7/2023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Publicação da resolução disciplinando o procedimento e os prazos para processamento e julgamento das denúncias de prática de condutas vedadas durante o processo de</w:t>
            </w: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br/>
            </w: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escolha. (art. 11, §4º, da Res. 231/2022 do Conanda).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Até 21/7/2023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Reunião com os candidatos habilitados sobre as regras da campanha.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21/7/2023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Início do período de campanha/propaganda eleitoral.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1/9/2023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Divulgação dos locais de votação.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1/9/2023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Sessão de apresentação dos candidatos habilitados.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Até 4/9/2023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Convocação dos servidores públicos municipais ou distritais para auxiliar no processo de escolha.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Até 4/9/2023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Solicitação de apoio da Polícia Militar e Guarda Municipal</w:t>
            </w: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Até 18/9/2023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Confecção das cédulas de votação, em caso de votação manual (somente se a utilização de urnas eletrônicas não for possível).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25/9/2023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Reunião de orientação aos mesários, escrutinadores e suplentes</w:t>
            </w: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Até 29/9/2023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Reunião com os candidatos habilitados e seus fiscais para orientações acerca das condutas vedadas no dia da eleição.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1/10/2023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8h às 17h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Eleição/votação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1/10/2023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Publicação do resultado da votação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Até 10/1/2024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Formação inicial dos titulares e suplentes eleitos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10/1/2024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Posse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outlineLvl w:val="0"/>
        <w:rPr>
          <w:highlight w:val="none"/>
        </w:rPr>
      </w:pPr>
      <w:r>
        <w:rPr/>
      </w:r>
    </w:p>
    <w:p>
      <w:pPr>
        <w:pStyle w:val="Jurisprudncias"/>
        <w:numPr>
          <w:ilvl w:val="0"/>
          <w:numId w:val="0"/>
        </w:numPr>
        <w:spacing w:lineRule="auto" w:line="360"/>
        <w:ind w:left="0" w:right="0" w:hanging="0"/>
        <w:jc w:val="both"/>
        <w:outlineLvl w:val="0"/>
        <w:rPr>
          <w:highlight w:val="none"/>
        </w:rPr>
      </w:pPr>
      <w:r>
        <w:rPr/>
      </w:r>
    </w:p>
    <w:p>
      <w:pPr>
        <w:pStyle w:val="Jurisprudncias"/>
        <w:numPr>
          <w:ilvl w:val="0"/>
          <w:numId w:val="0"/>
        </w:numPr>
        <w:spacing w:lineRule="auto" w:line="360"/>
        <w:ind w:left="0" w:right="0" w:hanging="0"/>
        <w:jc w:val="both"/>
        <w:outlineLvl w:val="0"/>
        <w:rPr>
          <w:highlight w:val="none"/>
        </w:rPr>
      </w:pPr>
      <w:r>
        <w:rPr>
          <w:rFonts w:eastAsia="Calibri"/>
          <w:b/>
          <w:color w:val="000000"/>
          <w:sz w:val="24"/>
        </w:rPr>
        <w:t>Leia-se:</w:t>
      </w:r>
    </w:p>
    <w:p>
      <w:pPr>
        <w:pStyle w:val="Jurisprudncias"/>
        <w:numPr>
          <w:ilvl w:val="0"/>
          <w:numId w:val="0"/>
        </w:numPr>
        <w:spacing w:lineRule="auto" w:line="360"/>
        <w:ind w:left="0" w:right="0" w:hanging="0"/>
        <w:jc w:val="both"/>
        <w:outlineLvl w:val="0"/>
        <w:rPr>
          <w:highlight w:val="none"/>
        </w:rPr>
      </w:pPr>
      <w:r>
        <w:rPr/>
      </w:r>
    </w:p>
    <w:tbl>
      <w:tblPr>
        <w:tblStyle w:val="3"/>
        <w:tblW w:w="85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6375"/>
      </w:tblGrid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4"/>
                <w:lang w:val="pt-BR" w:eastAsia="pt-BR" w:bidi="ar-SA"/>
              </w:rPr>
              <w:t>Data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4"/>
                <w:lang w:val="pt-BR" w:eastAsia="pt-BR" w:bidi="ar-SA"/>
              </w:rPr>
              <w:t>Etapa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Até 31/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en-US" w:eastAsia="pt-BR" w:bidi="ar-SA"/>
              </w:rPr>
              <w:t>0</w:t>
            </w:r>
            <w:bookmarkStart w:id="0" w:name="_GoBack1"/>
            <w:bookmarkEnd w:id="0"/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3/2023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Publicação da Resolução do COMDCAC que cria a Comissão Especial do Processo de Escolha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 xml:space="preserve">Até 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en-US" w:eastAsia="pt-BR" w:bidi="ar-SA"/>
              </w:rPr>
              <w:t>13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/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en-US" w:eastAsia="pt-BR" w:bidi="ar-SA"/>
              </w:rPr>
              <w:t>0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4/2023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Publicação do Edital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en-US" w:eastAsia="pt-BR" w:bidi="ar-SA"/>
              </w:rPr>
              <w:t>1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4/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en-US" w:eastAsia="pt-BR" w:bidi="ar-SA"/>
              </w:rPr>
              <w:t>0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 xml:space="preserve">4 a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en-US" w:eastAsia="pt-BR" w:bidi="ar-SA"/>
              </w:rPr>
              <w:t>15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/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en-US" w:eastAsia="pt-BR" w:bidi="ar-SA"/>
              </w:rPr>
              <w:t>0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5/2023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Prazo para registro das candidaturas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4"/>
                <w:lang w:val="en-US" w:eastAsia="pt-BR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en-US" w:eastAsia="pt-BR" w:bidi="ar-SA"/>
              </w:rPr>
              <w:t>18/05 a 24/05/2023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>Prorrogação do p</w:t>
            </w: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razo para registro das candidaturas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en-US" w:eastAsia="pt-BR" w:bidi="ar-SA"/>
              </w:rPr>
              <w:t>26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/5/2023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Publicação, pela Comissão Especial do processo de escolha, da lista dos candidatos inscritos e abertura do prazo de 5 (cinco) dias para impugnação das candidaturas junto à Comissão Especial, pela população em geral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en-US" w:eastAsia="pt-BR" w:bidi="ar-SA"/>
              </w:rPr>
              <w:t>02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/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en-US" w:eastAsia="pt-BR" w:bidi="ar-SA"/>
              </w:rPr>
              <w:t>06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Fim do prazo para impugnação dos candidatos pela população em geral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 xml:space="preserve">Até 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en-US" w:eastAsia="pt-BR" w:bidi="ar-SA"/>
              </w:rPr>
              <w:t>09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/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en-US" w:eastAsia="pt-BR" w:bidi="ar-SA"/>
              </w:rPr>
              <w:t>06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Havendo impugnação, a Comissão Especial notificará os candidatos impugnados, com abertura do prazo de 5 dias para defesa.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t-BR"/>
              </w:rPr>
              <w:t>12/06 a 16/06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Prazo de 5 dias para defesa do candidato impugnado.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t-BR"/>
              </w:rPr>
              <w:t>16/06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Realização de reunião da Comissão Especial para decidir acerca da impugnação.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t-BR"/>
              </w:rPr>
              <w:t>19/06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Análise do pedido de registro das candidaturas, independentemente de impugnação, e publicação da relação dos candidatos inscritos, deferidos e indeferidos, pela Comissão Especial.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t-BR"/>
              </w:rPr>
              <w:t>19/06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Prazo para interposição de recurso à Plenária do COMDCAC acerca das decisões da Comissão Especial.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b/>
                <w:b/>
                <w:bCs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sz w:val="22"/>
              </w:rPr>
              <w:t>21/06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Julgamento, pelo COMDCAC, dos recursos interpostos, com publicação acerca do resultado.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b/>
                <w:b/>
                <w:bCs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sz w:val="22"/>
              </w:rPr>
              <w:t>22/06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>Publicação do resultado do julgamento pelo COMDCAC.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t-BR"/>
              </w:rPr>
              <w:t>23/06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Publicação, pelo COMDCAC, de relação final das inscrições deferidas e indeferidas após o julgamento dos recursos pelo COMDCAC, com cópia ao Ministério Público.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t-BR"/>
              </w:rPr>
              <w:t>Até 30/06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Capacitação dos candidatos para a prova de conhecimentos, preferencialmente em dia não útil ou no período noturno.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  <w:lang w:val="en-US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en-US" w:eastAsia="pt-BR" w:bidi="ar-SA"/>
              </w:rPr>
              <w:t>02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/</w:t>
            </w: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en-US" w:eastAsia="pt-BR" w:bidi="ar-SA"/>
              </w:rPr>
              <w:t>07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Aplicação da prova.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10/7/2023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Publicação dos resultados da prova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11 e 12/7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Prazo de 2 (dois) dias para recurso dos candidatos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19/7/2023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Publicação do resultado final da prova pela Comissão Especial, bem como da lista final dos candidatos habilitados pelo COMDCAC, com cópia ao Ministério Público.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Até 20/7/2023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Publicação da resolução disciplinando o procedimento e os prazos para processamento e julgamento das denúncias de prática de condutas vedadas durante o processo de</w:t>
            </w: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br/>
            </w: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escolha. (art. 11, §4º, da Res. 231/2022 do Conanda).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Até 21/7/2023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Reunião com os candidatos habilitados sobre as regras da campanha.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21/7/2023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Início do período de campanha/propaganda eleitoral.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1/9/2023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Divulgação dos locais de votação.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1/9/2023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Sessão de apresentação dos candidatos habilitados.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Até 4/9/2023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Convocação dos servidores públicos municipais ou distritais para auxiliar no processo de escolha.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Até 4/9/2023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Solicitação de apoio da Polícia Militar e Guarda Municipal</w:t>
            </w: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Até 18/9/2023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Confecção das cédulas de votação, em caso de votação manual (somente se a utilização de urnas eletrônicas não for possível).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25/9/2023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Reunião de orientação aos mesários, escrutinadores e suplentes</w:t>
            </w: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Até 29/9/2023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Reunião com os candidatos habilitados e seus fiscais para orientações acerca das condutas vedadas no dia da eleição.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1/10/2023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8h às 17h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Eleição/votação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1/10/2023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Publicação do resultado da votação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0"/>
                <w:lang w:val="pt-BR" w:eastAsia="pt-BR" w:bidi="ar-SA"/>
              </w:rPr>
              <w:t>Até 10/1/2024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0"/>
                <w:lang w:val="pt-BR" w:eastAsia="pt-BR" w:bidi="ar-SA"/>
              </w:rPr>
              <w:t>Formação inicial dos titulares e suplentes eleitos</w:t>
            </w:r>
          </w:p>
        </w:tc>
      </w:tr>
      <w:tr>
        <w:trPr>
          <w:trHeight w:val="300" w:hRule="atLeast"/>
        </w:trPr>
        <w:tc>
          <w:tcPr>
            <w:tcW w:w="2210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4"/>
                <w:lang w:val="pt-BR" w:eastAsia="pt-BR" w:bidi="ar-SA"/>
              </w:rPr>
              <w:t>10/1/2024</w:t>
            </w:r>
          </w:p>
        </w:tc>
        <w:tc>
          <w:tcPr>
            <w:tcW w:w="6375" w:type="dxa"/>
            <w:tcBorders/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4"/>
                <w:lang w:val="pt-BR" w:eastAsia="pt-BR" w:bidi="ar-SA"/>
              </w:rPr>
              <w:t>Posse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outlineLvl w:val="0"/>
        <w:rPr>
          <w:highlight w:val="none"/>
        </w:rPr>
      </w:pPr>
      <w:r>
        <w:rPr/>
      </w:r>
    </w:p>
    <w:p>
      <w:pPr>
        <w:pStyle w:val="Jurisprudncias"/>
        <w:numPr>
          <w:ilvl w:val="0"/>
          <w:numId w:val="0"/>
        </w:numPr>
        <w:spacing w:lineRule="auto" w:line="360"/>
        <w:ind w:left="0" w:right="0" w:hanging="0"/>
        <w:jc w:val="both"/>
        <w:outlineLvl w:val="0"/>
        <w:rPr>
          <w:highlight w:val="none"/>
        </w:rPr>
      </w:pPr>
      <w:r>
        <w:rPr/>
      </w:r>
    </w:p>
    <w:p>
      <w:pPr>
        <w:pStyle w:val="Jurisprudncias"/>
        <w:numPr>
          <w:ilvl w:val="0"/>
          <w:numId w:val="0"/>
        </w:numPr>
        <w:spacing w:lineRule="auto" w:line="360"/>
        <w:ind w:left="0" w:right="0" w:hanging="0"/>
        <w:jc w:val="right"/>
        <w:outlineLvl w:val="0"/>
        <w:rPr>
          <w:rFonts w:ascii="Arial" w:hAnsi="Arial"/>
          <w:sz w:val="24"/>
          <w:highlight w:val="none"/>
        </w:rPr>
      </w:pPr>
      <w:r>
        <w:rPr>
          <w:sz w:val="24"/>
        </w:rPr>
        <w:t>Cariacica, 18 de maio</w:t>
      </w:r>
      <w:bookmarkStart w:id="1" w:name="_GoBack"/>
      <w:bookmarkEnd w:id="1"/>
      <w:r>
        <w:rPr>
          <w:sz w:val="24"/>
        </w:rPr>
        <w:t xml:space="preserve"> de 2023.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ascii="Arial" w:hAnsi="Arial"/>
          <w:color w:val="000000"/>
          <w:sz w:val="24"/>
          <w:szCs w:val="24"/>
        </w:rPr>
        <w:tab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highlight w:val="none"/>
        </w:rPr>
      </w:pPr>
      <w:r>
        <w:rPr>
          <w:rFonts w:eastAsia="Arial" w:cs="Arial" w:ascii="Arial" w:hAnsi="Arial"/>
          <w:b/>
        </w:rPr>
        <w:t>Penha Cristina Cabral</w:t>
      </w:r>
    </w:p>
    <w:p>
      <w:pPr>
        <w:pStyle w:val="Normal"/>
        <w:shd w:val="nil" w:color="auto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Presidente do Conselho Municipal dos Direitos da Criança e do Adolescente de Cariacica- COMDCAC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080" w:right="1107" w:gutter="0" w:header="709" w:top="1258" w:footer="381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wis721 LtCn B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Rodap"/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</w:r>
  </w:p>
  <w:p>
    <w:pPr>
      <w:pStyle w:val="Rodap"/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Av. Getúlio Vargas, nº 311, Campo Grande, Cariacica/ES</w:t>
    </w:r>
  </w:p>
  <w:p>
    <w:pPr>
      <w:pStyle w:val="Rodap"/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Telefone: 3354-7117 - E-mail: comdcac@cariacica.es.gov.br</w:t>
    </w:r>
  </w:p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Rodap"/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</w:r>
  </w:p>
  <w:p>
    <w:pPr>
      <w:pStyle w:val="Rodap"/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Av. Getúlio Vargas, nº 311, Campo Grande, Cariacica/ES</w:t>
    </w:r>
  </w:p>
  <w:p>
    <w:pPr>
      <w:pStyle w:val="Rodap"/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Telefone: 3354-7117 - E-mail: comdcac@cariacica.es.gov.br</w:t>
    </w:r>
  </w:p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Rodap"/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</w:r>
  </w:p>
  <w:p>
    <w:pPr>
      <w:pStyle w:val="Rodap"/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Av. Getúlio Vargas, nº 311, Campo Grande, Cariacica/ES</w:t>
    </w:r>
  </w:p>
  <w:p>
    <w:pPr>
      <w:pStyle w:val="Rodap"/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Telefone: 3354-7117 - E-mail: comdcac@cariacica.es.gov.br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239395</wp:posOffset>
          </wp:positionH>
          <wp:positionV relativeFrom="paragraph">
            <wp:posOffset>-168910</wp:posOffset>
          </wp:positionV>
          <wp:extent cx="800100" cy="79057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CONSELHO MUNICIPAL DOS DIREITOS DA CRIANÇA E </w:t>
    </w:r>
  </w:p>
  <w:p>
    <w:pPr>
      <w:pStyle w:val="Normal"/>
      <w:jc w:val="center"/>
      <w:rPr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t>DO ADOLESCENTE DE CARIACICA- COMDCAC</w:t>
    </w:r>
  </w:p>
  <w:p>
    <w:pPr>
      <w:pStyle w:val="Normal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Lei Municipal nº. 5.396/2015</w:t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239395</wp:posOffset>
          </wp:positionH>
          <wp:positionV relativeFrom="paragraph">
            <wp:posOffset>-168910</wp:posOffset>
          </wp:positionV>
          <wp:extent cx="800100" cy="790575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CONSELHO MUNICIPAL DOS DIREITOS DA CRIANÇA E </w:t>
    </w:r>
  </w:p>
  <w:p>
    <w:pPr>
      <w:pStyle w:val="Normal"/>
      <w:jc w:val="center"/>
      <w:rPr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t>DO ADOLESCENTE DE CARIACICA- COMDCAC</w:t>
    </w:r>
  </w:p>
  <w:p>
    <w:pPr>
      <w:pStyle w:val="Normal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Lei Municipal nº. 5.396/2015</w:t>
    </w:r>
  </w:p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239395</wp:posOffset>
          </wp:positionH>
          <wp:positionV relativeFrom="paragraph">
            <wp:posOffset>-168910</wp:posOffset>
          </wp:positionV>
          <wp:extent cx="800100" cy="790575"/>
          <wp:effectExtent l="0" t="0" r="0" b="0"/>
          <wp:wrapNone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CONSELHO MUNICIPAL DOS DIREITOS DA CRIANÇA E </w:t>
    </w:r>
  </w:p>
  <w:p>
    <w:pPr>
      <w:pStyle w:val="Normal"/>
      <w:jc w:val="center"/>
      <w:rPr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t>DO ADOLESCENTE DE CARIACICA- COMDCAC</w:t>
    </w:r>
  </w:p>
  <w:p>
    <w:pPr>
      <w:pStyle w:val="Normal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Lei Municipal nº. 5.396/2015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uiPriority w:val="9"/>
    <w:qFormat/>
    <w:pPr>
      <w:keepNext w:val="true"/>
      <w:tabs>
        <w:tab w:val="clear" w:pos="708"/>
        <w:tab w:val="right" w:pos="8505" w:leader="dot"/>
      </w:tabs>
      <w:jc w:val="center"/>
      <w:outlineLvl w:val="0"/>
    </w:pPr>
    <w:rPr>
      <w:rFonts w:ascii="Swis721 LtCn BT" w:hAnsi="Swis721 LtCn BT"/>
      <w:b/>
      <w:bCs/>
    </w:rPr>
  </w:style>
  <w:style w:type="paragraph" w:styleId="Ttulo2">
    <w:name w:val="Heading 2"/>
    <w:basedOn w:val="Normal"/>
    <w:uiPriority w:val="9"/>
    <w:unhideWhenUsed/>
    <w:qFormat/>
    <w:pPr>
      <w:keepNext w:val="true"/>
      <w:jc w:val="center"/>
      <w:outlineLvl w:val="1"/>
    </w:pPr>
    <w:rPr>
      <w:rFonts w:ascii="Swis721 LtCn BT" w:hAnsi="Swis721 LtCn BT"/>
      <w:b/>
      <w:bCs/>
      <w:sz w:val="28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Fontepargpadro">
    <w:name w:val="Fonte parág. padrão"/>
    <w:semiHidden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  <w:lang w:val="pt-BR" w:eastAsia="pt-BR" w:bidi="ar-SA"/>
    </w:rPr>
  </w:style>
  <w:style w:type="character" w:styleId="CorpodetextoChar">
    <w:name w:val="Corpo de texto Char"/>
    <w:qFormat/>
    <w:rPr>
      <w:sz w:val="24"/>
      <w:szCs w:val="24"/>
    </w:rPr>
  </w:style>
  <w:style w:type="character" w:styleId="TextodebaloChar">
    <w:name w:val="Texto de balão Char"/>
    <w:qFormat/>
    <w:rPr>
      <w:rFonts w:ascii="Segoe UI" w:hAnsi="Segoe UI"/>
      <w:sz w:val="18"/>
      <w:szCs w:val="18"/>
    </w:rPr>
  </w:style>
  <w:style w:type="character" w:styleId="RodapChar">
    <w:name w:val="Rodapé Char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Pr>
      <w:b/>
      <w:bCs/>
    </w:rPr>
  </w:style>
  <w:style w:type="paragraph" w:styleId="Ttulo">
    <w:name w:val="Título"/>
    <w:basedOn w:val="Normal"/>
    <w:next w:val="Corpodotexto"/>
    <w:qFormat/>
    <w:pPr>
      <w:jc w:val="center"/>
    </w:pPr>
    <w:rPr>
      <w:rFonts w:ascii="Swis721 LtCn BT" w:hAnsi="Swis721 LtCn BT"/>
      <w:b/>
      <w:bCs/>
      <w:smallCaps/>
      <w:sz w:val="40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ar-SA"/>
    </w:rPr>
  </w:style>
  <w:style w:type="paragraph" w:styleId="Ttulododocumento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tulo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unhideWhenUsed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uiPriority w:val="99"/>
    <w:unhideWhenUsed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rpodetexto2">
    <w:name w:val="Corpo de texto 2"/>
    <w:basedOn w:val="Normal"/>
    <w:qFormat/>
    <w:pPr>
      <w:spacing w:lineRule="auto" w:line="360"/>
      <w:jc w:val="both"/>
      <w:outlineLvl w:val="0"/>
    </w:pPr>
    <w:rPr>
      <w:rFonts w:ascii="Arial" w:hAnsi="Arial"/>
    </w:rPr>
  </w:style>
  <w:style w:type="paragraph" w:styleId="Corpodetexto">
    <w:name w:val="Corpo de texto"/>
    <w:basedOn w:val="Normal"/>
    <w:qFormat/>
    <w:pPr>
      <w:spacing w:before="0" w:after="120"/>
    </w:pPr>
    <w:rPr>
      <w:lang w:val="en-US" w:eastAsia="en-US"/>
    </w:rPr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Recuodecorpodetexto">
    <w:name w:val="Recuo de corpo de texto"/>
    <w:basedOn w:val="Normal"/>
    <w:qFormat/>
    <w:pPr>
      <w:spacing w:before="0" w:after="120"/>
      <w:ind w:left="283" w:hanging="0"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Textodebalo">
    <w:name w:val="Texto de balão"/>
    <w:basedOn w:val="Normal"/>
    <w:qFormat/>
    <w:pPr/>
    <w:rPr>
      <w:rFonts w:ascii="Segoe UI" w:hAnsi="Segoe UI"/>
      <w:sz w:val="18"/>
      <w:szCs w:val="18"/>
      <w:lang w:val="en-US" w:eastAsia="en-US"/>
    </w:rPr>
  </w:style>
  <w:style w:type="paragraph" w:styleId="Default" w:customStyle="1">
    <w:name w:val="Default"/>
    <w:qFormat/>
    <w:pPr>
      <w:keepNext w:val="false"/>
      <w:keepLines w:val="false"/>
      <w:pageBreakBefore w:val="false"/>
      <w:widowControl/>
      <w:shd w:val="nil" w:color="000000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Calibri" w:cs="Arial" w:eastAsiaTheme="minorHAns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4"/>
      <w:sz w:val="24"/>
      <w:szCs w:val="24"/>
      <w:u w:val="none"/>
      <w:vertAlign w:val="baseline"/>
      <w:lang w:val="pt-BR" w:eastAsia="en-US" w:bidi="ar-SA"/>
    </w:rPr>
  </w:style>
  <w:style w:type="paragraph" w:styleId="Jurisprudncias">
    <w:name w:val="Jurisprudências"/>
    <w:qFormat/>
    <w:pPr>
      <w:keepNext w:val="false"/>
      <w:keepLines w:val="false"/>
      <w:pageBreakBefore w:val="false"/>
      <w:widowControl/>
      <w:shd w:val="nil" w:color="000000"/>
      <w:suppressAutoHyphens w:val="true"/>
      <w:bidi w:val="0"/>
      <w:spacing w:lineRule="auto" w:line="240" w:beforeAutospacing="0" w:before="0" w:afterAutospacing="0" w:after="0"/>
      <w:ind w:left="0" w:right="0" w:hanging="0"/>
      <w:jc w:val="both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4"/>
      <w:sz w:val="24"/>
      <w:szCs w:val="22"/>
      <w:u w:val="none"/>
      <w:vertAlign w:val="baseline"/>
      <w:lang w:val="pt-BR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Semlista">
    <w:name w:val="Sem lista"/>
    <w:semiHidden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LibreOffice/7.3.1.3$Windows_X86_64 LibreOffice_project/a69ca51ded25f3eefd52d7bf9a5fad8c90b87951</Application>
  <AppVersion>15.0000</AppVersion>
  <Pages>4</Pages>
  <Words>1103</Words>
  <Characters>6431</Characters>
  <CharactersWithSpaces>7378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2023-05-18T15:54:39Z</cp:lastPrinted>
  <dcterms:modified xsi:type="dcterms:W3CDTF">2023-05-18T16:06:28Z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